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F26E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Administrator of the Energy Information Administration, Department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F224E3" w:rsidRDefault="000E0157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Senate </w:t>
            </w:r>
            <w:r w:rsidR="00B92A39" w:rsidRPr="00F224E3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6E7" w:rsidRPr="00F224E3" w:rsidRDefault="006C1242" w:rsidP="00B30C4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bCs/>
                <w:sz w:val="22"/>
                <w:szCs w:val="22"/>
              </w:rPr>
              <w:t>Energy and Natural Resources</w:t>
            </w:r>
            <w:r w:rsidR="001525D4" w:rsidRPr="00F224E3">
              <w:rPr>
                <w:rStyle w:val="EndnoteReference"/>
                <w:rFonts w:asciiTheme="majorHAnsi" w:hAnsiTheme="majorHAnsi" w:cstheme="majorHAnsi"/>
                <w:bCs/>
                <w:sz w:val="22"/>
                <w:szCs w:val="22"/>
              </w:rPr>
              <w:endnoteReference w:id="1"/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3910F3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6E7" w:rsidRPr="00F224E3" w:rsidRDefault="00F224E3" w:rsidP="00D33A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To ensure America's security and prosperity by addressing its energy, environmental and nuclear challenges through transformative science and technology solutions.</w:t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661AE5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0B2" w:rsidRPr="00F224E3" w:rsidRDefault="001040B2" w:rsidP="00773A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  <w:lang w:val="en"/>
              </w:rPr>
              <w:t>The administrator is responsible for the gathering, analysis and dissemination of energy information</w:t>
            </w:r>
            <w:r w:rsidR="00773AD6">
              <w:rPr>
                <w:rFonts w:asciiTheme="majorHAnsi" w:hAnsiTheme="majorHAnsi" w:cstheme="majorHAnsi"/>
                <w:sz w:val="22"/>
                <w:szCs w:val="22"/>
                <w:lang w:val="en"/>
              </w:rPr>
              <w:t>,</w:t>
            </w:r>
            <w:r w:rsidRPr="00F224E3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and may act in the name of the </w:t>
            </w:r>
            <w:r w:rsidR="00F224E3">
              <w:rPr>
                <w:rFonts w:asciiTheme="majorHAnsi" w:hAnsiTheme="majorHAnsi" w:cstheme="majorHAnsi"/>
                <w:sz w:val="22"/>
                <w:szCs w:val="22"/>
                <w:lang w:val="en"/>
              </w:rPr>
              <w:t>s</w:t>
            </w:r>
            <w:r w:rsidRPr="00F224E3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ecretary </w:t>
            </w:r>
            <w:r w:rsidR="00773AD6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to </w:t>
            </w:r>
            <w:r w:rsidRPr="00F224E3">
              <w:rPr>
                <w:rFonts w:asciiTheme="majorHAnsi" w:hAnsiTheme="majorHAnsi" w:cstheme="majorHAnsi"/>
                <w:sz w:val="22"/>
                <w:szCs w:val="22"/>
                <w:lang w:val="en"/>
              </w:rPr>
              <w:t>obtain enforcement of such delegated functions.</w:t>
            </w:r>
            <w:r w:rsidR="00F224E3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</w:t>
            </w:r>
            <w:r w:rsidR="00F224E3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(</w:t>
            </w:r>
            <w:r w:rsidR="00BB42BD">
              <w:rPr>
                <w:rFonts w:asciiTheme="majorHAnsi" w:hAnsiTheme="majorHAnsi" w:cstheme="majorHAnsi"/>
                <w:bCs/>
                <w:sz w:val="22"/>
                <w:szCs w:val="22"/>
              </w:rPr>
              <w:t>42</w:t>
            </w:r>
            <w:r w:rsidR="00F224E3" w:rsidRPr="00B472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U.S.C. § </w:t>
            </w:r>
            <w:r w:rsidR="00F224E3">
              <w:rPr>
                <w:rFonts w:asciiTheme="majorHAnsi" w:hAnsiTheme="majorHAnsi" w:cstheme="majorHAnsi"/>
                <w:bCs/>
                <w:sz w:val="22"/>
                <w:szCs w:val="22"/>
              </w:rPr>
              <w:t>7135</w:t>
            </w:r>
            <w:r w:rsidR="00F224E3" w:rsidRPr="00B47226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F224E3" w:rsidRDefault="00661AE5" w:rsidP="00962B3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242" w:rsidRPr="00F224E3" w:rsidRDefault="006C1242" w:rsidP="004105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bCs/>
                <w:sz w:val="22"/>
                <w:szCs w:val="22"/>
              </w:rPr>
              <w:t>Level IV $</w:t>
            </w:r>
            <w:r w:rsidR="00410576">
              <w:rPr>
                <w:rFonts w:asciiTheme="majorHAnsi" w:hAnsiTheme="majorHAnsi" w:cstheme="majorHAnsi"/>
                <w:bCs/>
                <w:sz w:val="22"/>
                <w:szCs w:val="22"/>
              </w:rPr>
              <w:t>155,500</w:t>
            </w:r>
            <w:r w:rsidRPr="00F224E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(5 U.S.C. § 5315)</w:t>
            </w:r>
            <w:r w:rsidR="001525D4" w:rsidRPr="00F224E3">
              <w:rPr>
                <w:rStyle w:val="EndnoteReference"/>
                <w:rFonts w:asciiTheme="majorHAnsi" w:hAnsiTheme="majorHAnsi" w:cstheme="majorHAnsi"/>
                <w:bCs/>
                <w:sz w:val="22"/>
                <w:szCs w:val="22"/>
              </w:rPr>
              <w:endnoteReference w:id="2"/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661AE5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FBE" w:rsidRPr="00F224E3" w:rsidRDefault="007A6FBE" w:rsidP="00D276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Secretary</w:t>
            </w:r>
            <w:r w:rsidR="006C6378">
              <w:rPr>
                <w:rFonts w:asciiTheme="majorHAnsi" w:hAnsiTheme="majorHAnsi" w:cstheme="majorHAnsi"/>
                <w:sz w:val="22"/>
                <w:szCs w:val="22"/>
              </w:rPr>
              <w:t xml:space="preserve"> of Energy</w:t>
            </w:r>
            <w:r w:rsidR="001525D4" w:rsidRPr="00F224E3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3"/>
            </w:r>
          </w:p>
        </w:tc>
      </w:tr>
      <w:tr w:rsidR="00661AE5" w:rsidRPr="00F224E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224E3" w:rsidRDefault="00661AE5" w:rsidP="00B64A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b/>
                <w:sz w:val="22"/>
                <w:szCs w:val="22"/>
              </w:rPr>
              <w:t>RESPONSIBILITIES</w:t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661AE5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F6" w:rsidRPr="00F224E3" w:rsidRDefault="009131E6" w:rsidP="00A85038">
            <w:pPr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 xml:space="preserve">In </w:t>
            </w:r>
            <w:r w:rsidR="00A338F6" w:rsidRPr="00F224E3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fiscal 2016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 xml:space="preserve">, </w:t>
            </w:r>
            <w:r w:rsidR="009477EB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 xml:space="preserve">the </w:t>
            </w:r>
            <w:r w:rsidR="006C6378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Energy Information Administration</w:t>
            </w:r>
            <w:r w:rsidR="00A338F6" w:rsidRPr="00F224E3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 xml:space="preserve"> </w:t>
            </w:r>
            <w:r w:rsidR="006C6378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had</w:t>
            </w:r>
            <w:r w:rsidR="009477EB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 xml:space="preserve"> a budget of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 xml:space="preserve"> $122 million</w:t>
            </w:r>
            <w:r w:rsidR="00A85038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 xml:space="preserve"> and 375 full-time equivalents</w:t>
            </w:r>
            <w:r w:rsidR="00A338F6" w:rsidRPr="00F224E3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.</w:t>
            </w:r>
            <w:r w:rsidR="00A338F6" w:rsidRPr="00F224E3">
              <w:rPr>
                <w:rStyle w:val="EndnoteReference"/>
                <w:rFonts w:asciiTheme="majorHAnsi" w:hAnsiTheme="majorHAnsi" w:cstheme="majorHAnsi"/>
                <w:bCs/>
                <w:sz w:val="22"/>
                <w:szCs w:val="22"/>
              </w:rPr>
              <w:endnoteReference w:id="4"/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661AE5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215" w:rsidRPr="00395215" w:rsidRDefault="00C96B33" w:rsidP="0029670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Carries</w:t>
            </w:r>
            <w:r w:rsidR="007A6FBE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out a central, comprehensive and unified energy data and information program </w:t>
            </w:r>
            <w:r w:rsidR="00773AD6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that </w:t>
            </w:r>
            <w:r w:rsidR="007A6FBE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>colle</w:t>
            </w:r>
            <w:r w:rsidR="003952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>ct</w:t>
            </w: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s</w:t>
            </w:r>
            <w:r w:rsidR="003952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>, evaluate</w:t>
            </w: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s</w:t>
            </w:r>
            <w:r w:rsidR="003952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>, assemble</w:t>
            </w: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s</w:t>
            </w:r>
            <w:r w:rsidR="003952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>, analyze</w:t>
            </w: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s</w:t>
            </w:r>
            <w:r w:rsidR="007A6FBE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and disseminate</w:t>
            </w: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s</w:t>
            </w:r>
            <w:r w:rsidR="007A6FBE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data and information relevant to energy resource reserves, energy production, demand</w:t>
            </w:r>
            <w:r w:rsidR="00773AD6">
              <w:rPr>
                <w:rFonts w:asciiTheme="majorHAnsi" w:hAnsiTheme="majorHAnsi" w:cstheme="majorHAnsi"/>
                <w:sz w:val="22"/>
                <w:szCs w:val="22"/>
                <w:lang w:val="en"/>
              </w:rPr>
              <w:t>,</w:t>
            </w:r>
            <w:r w:rsidR="007A6FBE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and technology </w:t>
            </w:r>
            <w:r w:rsidR="003952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>as well as</w:t>
            </w:r>
            <w:r w:rsidR="007A6FBE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related economic and statistical information relevant to the adequacy of energy resources to meet demands in the near and longer term future for the </w:t>
            </w:r>
            <w:r w:rsidR="00BB42BD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>n</w:t>
            </w:r>
            <w:r w:rsidR="007A6FBE" w:rsidRPr="004067B1">
              <w:rPr>
                <w:rFonts w:asciiTheme="majorHAnsi" w:hAnsiTheme="majorHAnsi" w:cstheme="majorHAnsi"/>
                <w:sz w:val="22"/>
                <w:szCs w:val="22"/>
                <w:lang w:val="en"/>
              </w:rPr>
              <w:t>at</w:t>
            </w:r>
            <w:r w:rsidR="00395215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ion’s economic and social needs </w:t>
            </w:r>
            <w:r w:rsidR="00BB42BD" w:rsidRPr="004067B1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(</w:t>
            </w:r>
            <w:r w:rsidR="00BB42BD" w:rsidRPr="004067B1">
              <w:rPr>
                <w:rFonts w:asciiTheme="majorHAnsi" w:hAnsiTheme="majorHAnsi" w:cstheme="majorHAnsi"/>
                <w:bCs/>
                <w:sz w:val="22"/>
                <w:szCs w:val="22"/>
              </w:rPr>
              <w:t>42 U.S.C. § 7135)</w:t>
            </w:r>
          </w:p>
          <w:p w:rsidR="00395215" w:rsidRDefault="00395215" w:rsidP="0029670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Conducts a relevant, reliable</w:t>
            </w:r>
            <w:r w:rsidR="004067B1" w:rsidRPr="00395215">
              <w:rPr>
                <w:rFonts w:asciiTheme="majorHAnsi" w:hAnsiTheme="majorHAnsi" w:cstheme="majorHAnsi"/>
                <w:sz w:val="22"/>
                <w:szCs w:val="22"/>
              </w:rPr>
              <w:t xml:space="preserve"> and timely data</w:t>
            </w:r>
            <w:r w:rsidR="00773AD6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067B1" w:rsidRPr="00395215">
              <w:rPr>
                <w:rFonts w:asciiTheme="majorHAnsi" w:hAnsiTheme="majorHAnsi" w:cstheme="majorHAnsi"/>
                <w:sz w:val="22"/>
                <w:szCs w:val="22"/>
              </w:rPr>
              <w:t>collection program that covers the full spect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rum of energy sources, end uses</w:t>
            </w:r>
            <w:r w:rsidR="004067B1" w:rsidRPr="00395215">
              <w:rPr>
                <w:rFonts w:asciiTheme="majorHAnsi" w:hAnsiTheme="majorHAnsi" w:cstheme="majorHAnsi"/>
                <w:sz w:val="22"/>
                <w:szCs w:val="22"/>
              </w:rPr>
              <w:t xml:space="preserve"> and ene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rgy flows</w:t>
            </w:r>
          </w:p>
          <w:p w:rsidR="00395215" w:rsidRDefault="00395215" w:rsidP="0029670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4067B1" w:rsidRPr="00395215">
              <w:rPr>
                <w:rFonts w:asciiTheme="majorHAnsi" w:hAnsiTheme="majorHAnsi" w:cstheme="majorHAnsi"/>
                <w:sz w:val="22"/>
                <w:szCs w:val="22"/>
              </w:rPr>
              <w:t>enerates short- and long-term domestic and international energy projec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tions</w:t>
            </w:r>
          </w:p>
          <w:p w:rsidR="00395215" w:rsidRDefault="00395215" w:rsidP="0029670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4067B1" w:rsidRPr="00395215">
              <w:rPr>
                <w:rFonts w:asciiTheme="majorHAnsi" w:hAnsiTheme="majorHAnsi" w:cstheme="majorHAnsi"/>
                <w:sz w:val="22"/>
                <w:szCs w:val="22"/>
              </w:rPr>
              <w:t xml:space="preserve">erforms informative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energy analyses</w:t>
            </w:r>
          </w:p>
          <w:p w:rsidR="004067B1" w:rsidRPr="00395215" w:rsidRDefault="00395215" w:rsidP="0029670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Communicates</w:t>
            </w:r>
            <w:r w:rsidR="004067B1" w:rsidRPr="00395215">
              <w:rPr>
                <w:rFonts w:asciiTheme="majorHAnsi" w:hAnsiTheme="majorHAnsi" w:cstheme="majorHAnsi"/>
                <w:sz w:val="22"/>
                <w:szCs w:val="22"/>
              </w:rPr>
              <w:t xml:space="preserve"> statistical and analytical products primarily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through</w:t>
            </w:r>
            <w:r w:rsidR="00C96B33"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="004067B1" w:rsidRPr="00395215">
              <w:rPr>
                <w:rFonts w:asciiTheme="majorHAnsi" w:hAnsiTheme="majorHAnsi" w:cstheme="majorHAnsi"/>
                <w:sz w:val="22"/>
                <w:szCs w:val="22"/>
              </w:rPr>
              <w:t xml:space="preserve"> webs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ite and customer contact center</w:t>
            </w:r>
            <w:r w:rsidR="00CE24D1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5"/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661AE5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1C91" w:rsidRDefault="00E91C91" w:rsidP="00E91C91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E91C91" w:rsidRPr="00E91C91" w:rsidRDefault="00E91C91" w:rsidP="00E91C91">
            <w:pPr>
              <w:ind w:left="7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91C91">
              <w:rPr>
                <w:rFonts w:asciiTheme="majorHAnsi" w:hAnsiTheme="majorHAnsi" w:cstheme="majorHAnsi"/>
                <w:sz w:val="22"/>
                <w:szCs w:val="22"/>
              </w:rPr>
              <w:t>[Depends on the policy priorities of the administration]</w:t>
            </w:r>
          </w:p>
          <w:p w:rsidR="0039752D" w:rsidRPr="00F224E3" w:rsidRDefault="0039752D" w:rsidP="00B90B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1AE5" w:rsidRPr="00F224E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224E3" w:rsidRDefault="00661AE5" w:rsidP="00B64A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b/>
                <w:sz w:val="22"/>
                <w:szCs w:val="22"/>
              </w:rPr>
              <w:t>REQUIREMENTS AND COMPETENCIES</w:t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661AE5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B33" w:rsidRPr="00571EF4" w:rsidRDefault="00DC2A43" w:rsidP="00571EF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S</w:t>
            </w:r>
            <w:r w:rsidRPr="00F224E3"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pecially qualified to manage an energy information system</w:t>
            </w:r>
            <w: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(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42</w:t>
            </w:r>
            <w:r w:rsidRPr="00B472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U.S.C. §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7135</w:t>
            </w:r>
            <w:r w:rsidRPr="00B47226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  <w:p w:rsidR="00571EF4" w:rsidRDefault="00571EF4" w:rsidP="00571EF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Energy experience</w:t>
            </w:r>
          </w:p>
          <w:p w:rsidR="00571EF4" w:rsidRDefault="00571EF4" w:rsidP="00571EF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lastRenderedPageBreak/>
              <w:t>Previous government experience in related subject area</w:t>
            </w:r>
          </w:p>
          <w:p w:rsidR="00571EF4" w:rsidRPr="00C96B33" w:rsidRDefault="00571EF4" w:rsidP="00571EF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"/>
              </w:rPr>
              <w:t>Strong management experience</w:t>
            </w:r>
          </w:p>
        </w:tc>
      </w:tr>
      <w:tr w:rsidR="00661AE5" w:rsidRPr="00F224E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224E3" w:rsidRDefault="00661AE5" w:rsidP="004E1C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EF4" w:rsidRPr="009327B7" w:rsidRDefault="00571EF4" w:rsidP="00571EF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327B7">
              <w:rPr>
                <w:rFonts w:asciiTheme="majorHAnsi" w:hAnsiTheme="majorHAnsi" w:cstheme="majorHAnsi"/>
                <w:bCs/>
                <w:sz w:val="22"/>
                <w:szCs w:val="22"/>
              </w:rPr>
              <w:t>Strong communication and interpersonal skills</w:t>
            </w:r>
          </w:p>
          <w:p w:rsidR="009327B7" w:rsidRPr="009327B7" w:rsidRDefault="009327B7" w:rsidP="00571EF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327B7">
              <w:rPr>
                <w:rFonts w:asciiTheme="majorHAnsi" w:hAnsiTheme="majorHAnsi" w:cstheme="majorHAnsi"/>
                <w:bCs/>
                <w:sz w:val="22"/>
                <w:szCs w:val="22"/>
              </w:rPr>
              <w:t>Expert project management and leadership skills</w:t>
            </w:r>
          </w:p>
          <w:p w:rsidR="00571EF4" w:rsidRPr="009327B7" w:rsidRDefault="00571EF4" w:rsidP="00571EF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327B7">
              <w:rPr>
                <w:rFonts w:asciiTheme="majorHAnsi" w:hAnsiTheme="majorHAnsi" w:cstheme="majorHAnsi"/>
                <w:bCs/>
                <w:sz w:val="22"/>
                <w:szCs w:val="22"/>
              </w:rPr>
              <w:t>Ability to work in a matrixed environment</w:t>
            </w:r>
          </w:p>
        </w:tc>
      </w:tr>
      <w:tr w:rsidR="00661AE5" w:rsidRPr="00F224E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224E3" w:rsidRDefault="00661AE5" w:rsidP="00B64A2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b/>
                <w:sz w:val="22"/>
                <w:szCs w:val="22"/>
              </w:rPr>
              <w:t>PAST APPOINTEES</w:t>
            </w:r>
          </w:p>
        </w:tc>
      </w:tr>
      <w:tr w:rsidR="00BE379B" w:rsidRPr="00F224E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224E3" w:rsidRDefault="005B30F4" w:rsidP="00773A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Adam </w:t>
            </w:r>
            <w:proofErr w:type="spellStart"/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Sieminski</w:t>
            </w:r>
            <w:proofErr w:type="spellEnd"/>
            <w:r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(2012</w:t>
            </w:r>
            <w:r w:rsidR="00EF2624"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to 2017</w:t>
            </w:r>
            <w:r w:rsidR="00B30C4A" w:rsidRPr="00F224E3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r w:rsidR="00A44F1C"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F2624" w:rsidRPr="00F224E3">
              <w:rPr>
                <w:rFonts w:asciiTheme="majorHAnsi" w:hAnsiTheme="majorHAnsi" w:cstheme="majorHAnsi"/>
                <w:sz w:val="22"/>
                <w:szCs w:val="22"/>
              </w:rPr>
              <w:t>Administrator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, Energy Information Administration; Senior Director for Energy and Environment, National Security Council, </w:t>
            </w:r>
            <w:r w:rsidR="00F224E3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White House; Chief Energy Economist, Deutsche Bank</w:t>
            </w:r>
            <w:r w:rsidRPr="00F224E3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6"/>
            </w:r>
          </w:p>
        </w:tc>
      </w:tr>
      <w:tr w:rsidR="00BE379B" w:rsidRPr="00F224E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224E3" w:rsidRDefault="002235DD" w:rsidP="00F224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Richard Newell</w:t>
            </w:r>
            <w:r w:rsidR="00A44F1C"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(2009 to 2011</w:t>
            </w:r>
            <w:r w:rsidR="00B30C4A" w:rsidRPr="00F224E3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Senior Fellow, Resources for the Future; Senior Economist</w:t>
            </w:r>
            <w:r w:rsidR="00F224E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571EF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Energy and Environment, President’s Council of Economic Advisers; Senior Associate, ICF International</w:t>
            </w:r>
            <w:r w:rsidRPr="00F224E3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7"/>
            </w:r>
          </w:p>
        </w:tc>
      </w:tr>
      <w:tr w:rsidR="00661AE5" w:rsidRPr="00F224E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224E3" w:rsidRDefault="002235DD" w:rsidP="00AA30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Guy Caruso</w:t>
            </w:r>
            <w:r w:rsidR="00BE379B"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>(2002 to 2008</w:t>
            </w:r>
            <w:r w:rsidR="00B30C4A" w:rsidRPr="00F224E3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Director</w:t>
            </w:r>
            <w:r w:rsidR="00F224E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F224E3">
              <w:rPr>
                <w:rFonts w:asciiTheme="majorHAnsi" w:hAnsiTheme="majorHAnsi" w:cstheme="majorHAnsi"/>
                <w:sz w:val="22"/>
                <w:szCs w:val="22"/>
              </w:rPr>
              <w:t xml:space="preserve"> Non-Member Countries, International Energy Agency</w:t>
            </w:r>
            <w:r w:rsidR="001040B2" w:rsidRPr="00F224E3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2C" w:rsidRDefault="00F2082C" w:rsidP="001E22F1">
      <w:r>
        <w:separator/>
      </w:r>
    </w:p>
  </w:endnote>
  <w:endnote w:type="continuationSeparator" w:id="0">
    <w:p w:rsidR="00F2082C" w:rsidRDefault="00F2082C" w:rsidP="001E22F1">
      <w:r>
        <w:continuationSeparator/>
      </w:r>
    </w:p>
  </w:endnote>
  <w:endnote w:id="1">
    <w:p w:rsidR="001525D4" w:rsidRDefault="001525D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525D4">
        <w:t>https://www.energy.senate.gov/public/index.cfm/hearings</w:t>
      </w:r>
    </w:p>
  </w:endnote>
  <w:endnote w:id="2">
    <w:p w:rsidR="001525D4" w:rsidRDefault="001525D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1057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1525D4" w:rsidRDefault="001525D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525D4">
        <w:t>https://www.law.cornell.edu/uscode/text/42/7135</w:t>
      </w:r>
    </w:p>
  </w:endnote>
  <w:endnote w:id="4">
    <w:p w:rsidR="00A338F6" w:rsidRDefault="00A338F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A85038" w:rsidRPr="003115BE">
          <w:rPr>
            <w:rStyle w:val="Hyperlink"/>
          </w:rPr>
          <w:t>https://www.eia.gov/about/budget_performance.php</w:t>
        </w:r>
      </w:hyperlink>
    </w:p>
    <w:p w:rsidR="00A85038" w:rsidRDefault="00A85038">
      <w:pPr>
        <w:pStyle w:val="EndnoteText"/>
      </w:pPr>
      <w:r w:rsidRPr="00A85038">
        <w:t>https://energy.gov/sites/prod/files/2017/05/f34/FY2018BudgetVolume3_0.pdf</w:t>
      </w:r>
    </w:p>
  </w:endnote>
  <w:endnote w:id="5">
    <w:p w:rsidR="00CE24D1" w:rsidRDefault="00CE24D1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5B30F4" w:rsidRDefault="005B30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B30F4">
        <w:t>https://www.linkedin.com/in/adam-sieminski-2b077a91/</w:t>
      </w:r>
    </w:p>
  </w:endnote>
  <w:endnote w:id="7">
    <w:p w:rsidR="002235DD" w:rsidRDefault="002235D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235DD">
        <w:t>https://www.linkedin.com/in/RGNewell/</w:t>
      </w:r>
    </w:p>
  </w:endnote>
  <w:endnote w:id="8">
    <w:p w:rsidR="001040B2" w:rsidRDefault="001040B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040B2">
        <w:t>https://www.linkedin.com/in/guy-caruso-5b0607a/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2C" w:rsidRDefault="00F2082C" w:rsidP="001E22F1">
      <w:r>
        <w:separator/>
      </w:r>
    </w:p>
  </w:footnote>
  <w:footnote w:type="continuationSeparator" w:id="0">
    <w:p w:rsidR="00F2082C" w:rsidRDefault="00F2082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1057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742C25"/>
    <w:multiLevelType w:val="hybridMultilevel"/>
    <w:tmpl w:val="7976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7629"/>
    <w:multiLevelType w:val="hybridMultilevel"/>
    <w:tmpl w:val="9DA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E3B6D"/>
    <w:multiLevelType w:val="hybridMultilevel"/>
    <w:tmpl w:val="EC3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5"/>
  </w:num>
  <w:num w:numId="10">
    <w:abstractNumId w:val="6"/>
  </w:num>
  <w:num w:numId="11">
    <w:abstractNumId w:val="13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9"/>
  </w:num>
  <w:num w:numId="28">
    <w:abstractNumId w:val="17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16"/>
  </w:num>
  <w:num w:numId="37">
    <w:abstractNumId w:val="2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40B2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525D4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35DD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493D"/>
    <w:rsid w:val="00292D76"/>
    <w:rsid w:val="00296700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12EE"/>
    <w:rsid w:val="00354173"/>
    <w:rsid w:val="003616AC"/>
    <w:rsid w:val="00366270"/>
    <w:rsid w:val="00370ED0"/>
    <w:rsid w:val="00373610"/>
    <w:rsid w:val="00375A18"/>
    <w:rsid w:val="00386024"/>
    <w:rsid w:val="003910F3"/>
    <w:rsid w:val="00395215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70B0"/>
    <w:rsid w:val="00405D3E"/>
    <w:rsid w:val="00405E4F"/>
    <w:rsid w:val="004067B1"/>
    <w:rsid w:val="00410576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26E7"/>
    <w:rsid w:val="004F4242"/>
    <w:rsid w:val="004F6554"/>
    <w:rsid w:val="00500B8F"/>
    <w:rsid w:val="00514128"/>
    <w:rsid w:val="00520164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1EF4"/>
    <w:rsid w:val="00572669"/>
    <w:rsid w:val="00574039"/>
    <w:rsid w:val="00577F0A"/>
    <w:rsid w:val="0058599E"/>
    <w:rsid w:val="005B0C70"/>
    <w:rsid w:val="005B30F4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242"/>
    <w:rsid w:val="006C14EE"/>
    <w:rsid w:val="006C2A1C"/>
    <w:rsid w:val="006C6378"/>
    <w:rsid w:val="006E008A"/>
    <w:rsid w:val="006E20FC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3AD6"/>
    <w:rsid w:val="007872BC"/>
    <w:rsid w:val="00790CC5"/>
    <w:rsid w:val="007A377A"/>
    <w:rsid w:val="007A6FBE"/>
    <w:rsid w:val="007B1D32"/>
    <w:rsid w:val="007B6E3E"/>
    <w:rsid w:val="007C73DE"/>
    <w:rsid w:val="007D1AFF"/>
    <w:rsid w:val="007D609D"/>
    <w:rsid w:val="007D669F"/>
    <w:rsid w:val="007E1065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4BEB"/>
    <w:rsid w:val="00901824"/>
    <w:rsid w:val="009069C2"/>
    <w:rsid w:val="009131E6"/>
    <w:rsid w:val="009140FD"/>
    <w:rsid w:val="009241DC"/>
    <w:rsid w:val="009320AA"/>
    <w:rsid w:val="00932702"/>
    <w:rsid w:val="009327B7"/>
    <w:rsid w:val="0094134C"/>
    <w:rsid w:val="0094517E"/>
    <w:rsid w:val="009477EB"/>
    <w:rsid w:val="0095718F"/>
    <w:rsid w:val="0096077A"/>
    <w:rsid w:val="00962B37"/>
    <w:rsid w:val="009630CC"/>
    <w:rsid w:val="0096330D"/>
    <w:rsid w:val="00967C21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C31"/>
    <w:rsid w:val="009E1FC3"/>
    <w:rsid w:val="009E46C4"/>
    <w:rsid w:val="009E586C"/>
    <w:rsid w:val="009F27C4"/>
    <w:rsid w:val="009F59E4"/>
    <w:rsid w:val="00A07E43"/>
    <w:rsid w:val="00A11046"/>
    <w:rsid w:val="00A15619"/>
    <w:rsid w:val="00A16DAE"/>
    <w:rsid w:val="00A20D92"/>
    <w:rsid w:val="00A21FED"/>
    <w:rsid w:val="00A338F6"/>
    <w:rsid w:val="00A33BE1"/>
    <w:rsid w:val="00A37BD6"/>
    <w:rsid w:val="00A40455"/>
    <w:rsid w:val="00A44F1C"/>
    <w:rsid w:val="00A46A0C"/>
    <w:rsid w:val="00A54EF3"/>
    <w:rsid w:val="00A57F7F"/>
    <w:rsid w:val="00A653B2"/>
    <w:rsid w:val="00A711E1"/>
    <w:rsid w:val="00A77626"/>
    <w:rsid w:val="00A85038"/>
    <w:rsid w:val="00A869D4"/>
    <w:rsid w:val="00A87EC8"/>
    <w:rsid w:val="00A92C24"/>
    <w:rsid w:val="00A9589A"/>
    <w:rsid w:val="00AA2E6E"/>
    <w:rsid w:val="00AA30D7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5198"/>
    <w:rsid w:val="00B609BD"/>
    <w:rsid w:val="00B64A22"/>
    <w:rsid w:val="00B66919"/>
    <w:rsid w:val="00B72A3A"/>
    <w:rsid w:val="00B761F1"/>
    <w:rsid w:val="00B8440A"/>
    <w:rsid w:val="00B85C44"/>
    <w:rsid w:val="00B8737B"/>
    <w:rsid w:val="00B90BE8"/>
    <w:rsid w:val="00B92A39"/>
    <w:rsid w:val="00B97B34"/>
    <w:rsid w:val="00BA34BC"/>
    <w:rsid w:val="00BB42BD"/>
    <w:rsid w:val="00BC1493"/>
    <w:rsid w:val="00BC180D"/>
    <w:rsid w:val="00BC78FF"/>
    <w:rsid w:val="00BD0F2B"/>
    <w:rsid w:val="00BD29EF"/>
    <w:rsid w:val="00BD4300"/>
    <w:rsid w:val="00BE28D8"/>
    <w:rsid w:val="00BE379B"/>
    <w:rsid w:val="00BE6A61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96B33"/>
    <w:rsid w:val="00CA0F50"/>
    <w:rsid w:val="00CA6785"/>
    <w:rsid w:val="00CC2512"/>
    <w:rsid w:val="00CC278F"/>
    <w:rsid w:val="00CC416B"/>
    <w:rsid w:val="00CD14D0"/>
    <w:rsid w:val="00CD409E"/>
    <w:rsid w:val="00CE24D1"/>
    <w:rsid w:val="00CF1D48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8B9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2A43"/>
    <w:rsid w:val="00DC4447"/>
    <w:rsid w:val="00DC4641"/>
    <w:rsid w:val="00DC65B3"/>
    <w:rsid w:val="00DD0C75"/>
    <w:rsid w:val="00DD6727"/>
    <w:rsid w:val="00DF1738"/>
    <w:rsid w:val="00DF568B"/>
    <w:rsid w:val="00DF7A0C"/>
    <w:rsid w:val="00E04AB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1C91"/>
    <w:rsid w:val="00EA085C"/>
    <w:rsid w:val="00EB20A7"/>
    <w:rsid w:val="00EC2402"/>
    <w:rsid w:val="00EC429B"/>
    <w:rsid w:val="00EC4FDB"/>
    <w:rsid w:val="00ED52F5"/>
    <w:rsid w:val="00ED5B9E"/>
    <w:rsid w:val="00EE58CC"/>
    <w:rsid w:val="00EF11FF"/>
    <w:rsid w:val="00EF2624"/>
    <w:rsid w:val="00EF6FAB"/>
    <w:rsid w:val="00F1221F"/>
    <w:rsid w:val="00F2082C"/>
    <w:rsid w:val="00F224E3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3CFC"/>
    <w:rsid w:val="00FA4096"/>
    <w:rsid w:val="00FA4E00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0D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sz w:val="18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hAnsi="Helvetica"/>
      <w:sz w:val="18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hAnsi="Helvetica"/>
      <w:sz w:val="18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hAnsi="Helvetica"/>
      <w:sz w:val="18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hAnsi="Helvetica"/>
      <w:color w:val="808080"/>
      <w:sz w:val="1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60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2104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04865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37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9778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348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3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50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3936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881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62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403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8992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43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9991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415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708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a.gov/about/budget_performance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3E541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950C4"/>
    <w:rsid w:val="00BB64E1"/>
    <w:rsid w:val="00BD4E5C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71B8D6-75DF-47DF-B78D-D0E32969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2017-06-30T16:17:00Z</dcterms:created>
  <dcterms:modified xsi:type="dcterms:W3CDTF">2017-08-23T19:05:00Z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